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87" w:rsidRDefault="006F1387" w:rsidP="006F1387">
      <w:pPr>
        <w:rPr>
          <w:rFonts w:ascii="Arial" w:hAnsi="Arial" w:cs="Arial"/>
          <w:i/>
        </w:rPr>
      </w:pPr>
      <w:r w:rsidRPr="006F1387">
        <w:rPr>
          <w:rFonts w:ascii="Arial" w:hAnsi="Arial" w:cs="Arial"/>
          <w:i/>
        </w:rPr>
        <w:t>Письмо СФР от 23.07.2024 N 19-20/33495</w:t>
      </w:r>
    </w:p>
    <w:p w:rsidR="006F1387" w:rsidRDefault="006F1387" w:rsidP="006F1387"/>
    <w:p w:rsidR="006F1387" w:rsidRPr="009A486B" w:rsidRDefault="006F1387" w:rsidP="006F1387">
      <w:pPr>
        <w:pStyle w:val="a4"/>
        <w:jc w:val="both"/>
        <w:rPr>
          <w:rFonts w:ascii="Arial" w:hAnsi="Arial" w:cs="Arial"/>
        </w:rPr>
      </w:pPr>
      <w:r w:rsidRPr="009A486B">
        <w:rPr>
          <w:rFonts w:ascii="Arial" w:hAnsi="Arial" w:cs="Arial"/>
        </w:rPr>
        <w:t>При приеме на работу совместителя нужно сдать в СФР подраздел 1.1 формы ЕФС-1. При этом в графе 6 «Код выполняемой функции» указывать код «НЕПД» или «НЕПН» не следует. Это касается как внешних, так и внутренних совместителей. Коды «НЕПД» или «НЕПН» отражаются в графе 6 при приеме сотрудника на работу на условиях неполного рабочего дня или неполной рабочей недели соответственно.</w:t>
      </w:r>
    </w:p>
    <w:p w:rsidR="00586927" w:rsidRDefault="00586927"/>
    <w:p w:rsidR="006F1387" w:rsidRDefault="006F1387"/>
    <w:p w:rsidR="006F1387" w:rsidRDefault="006F1387" w:rsidP="006F1387">
      <w:pPr>
        <w:rPr>
          <w:rFonts w:ascii="Arial" w:eastAsia="Calibri" w:hAnsi="Arial" w:cs="Arial"/>
          <w:bCs/>
          <w:i/>
          <w:iCs/>
          <w:kern w:val="36"/>
        </w:rPr>
      </w:pPr>
      <w:r w:rsidRPr="006F1387">
        <w:rPr>
          <w:rFonts w:ascii="Arial" w:hAnsi="Arial" w:cs="Arial"/>
          <w:i/>
        </w:rPr>
        <w:t>Письмо Минтр</w:t>
      </w:r>
      <w:r w:rsidRPr="006F1387">
        <w:rPr>
          <w:rFonts w:ascii="Arial" w:hAnsi="Arial" w:cs="Arial"/>
          <w:i/>
        </w:rPr>
        <w:t>у</w:t>
      </w:r>
      <w:r w:rsidRPr="006F1387">
        <w:rPr>
          <w:rFonts w:ascii="Arial" w:hAnsi="Arial" w:cs="Arial"/>
          <w:i/>
        </w:rPr>
        <w:t>да от 02.07.2024 № 14-1/ООГ-4023</w:t>
      </w:r>
    </w:p>
    <w:p w:rsidR="006F1387" w:rsidRDefault="006F1387" w:rsidP="006F1387"/>
    <w:p w:rsidR="006F1387" w:rsidRDefault="006F1387" w:rsidP="006F1387">
      <w:pPr>
        <w:pStyle w:val="a4"/>
        <w:jc w:val="both"/>
        <w:rPr>
          <w:rFonts w:ascii="Arial" w:hAnsi="Arial" w:cs="Arial"/>
        </w:rPr>
      </w:pPr>
      <w:r w:rsidRPr="009F18FC">
        <w:rPr>
          <w:rFonts w:ascii="Arial" w:hAnsi="Arial" w:cs="Arial"/>
        </w:rPr>
        <w:t>При определении зарплаты за первую половину месяца не надо учитывать надбавки, которые рассчитываются по итогам месяца и которые зависят от выполнения месячной нормы рабочего времени и норм труда. В частности, доплаты за сверхурочную работу и работы в выходные и нерабочие праздничные дни.</w:t>
      </w:r>
    </w:p>
    <w:p w:rsidR="006F1387" w:rsidRDefault="006F1387"/>
    <w:sectPr w:rsidR="006F138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6F1387"/>
    <w:rsid w:val="00011A8F"/>
    <w:rsid w:val="002A41D3"/>
    <w:rsid w:val="003F2B6D"/>
    <w:rsid w:val="004236C3"/>
    <w:rsid w:val="004D4250"/>
    <w:rsid w:val="00586927"/>
    <w:rsid w:val="00613166"/>
    <w:rsid w:val="006F1387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38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1387"/>
    <w:rPr>
      <w:color w:val="0000FF"/>
      <w:u w:val="single"/>
    </w:rPr>
  </w:style>
  <w:style w:type="paragraph" w:styleId="a4">
    <w:name w:val="Normal (Web)"/>
    <w:basedOn w:val="a"/>
    <w:uiPriority w:val="99"/>
    <w:rsid w:val="006F1387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2024-08-09T03:48:00Z</dcterms:created>
  <dcterms:modified xsi:type="dcterms:W3CDTF">2024-08-09T03:49:00Z</dcterms:modified>
</cp:coreProperties>
</file>